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B9B4C" w14:textId="77777777" w:rsidR="003673E5" w:rsidRPr="003673E5" w:rsidRDefault="003673E5" w:rsidP="003673E5">
      <w:pPr>
        <w:rPr>
          <w:rFonts w:ascii="Arial" w:hAnsi="Arial" w:cs="Arial"/>
          <w:i/>
          <w:iCs/>
          <w:color w:val="282828"/>
          <w:sz w:val="21"/>
          <w:szCs w:val="21"/>
        </w:rPr>
      </w:pPr>
      <w:r w:rsidRPr="003673E5">
        <w:rPr>
          <w:rFonts w:ascii="Arial" w:hAnsi="Arial" w:cs="Arial"/>
          <w:i/>
          <w:iCs/>
          <w:color w:val="282828"/>
          <w:sz w:val="21"/>
          <w:szCs w:val="21"/>
        </w:rPr>
        <w:t>Ausschreibungstext</w:t>
      </w:r>
    </w:p>
    <w:p w14:paraId="4F918E8C" w14:textId="77777777" w:rsidR="003673E5" w:rsidRPr="003673E5" w:rsidRDefault="003673E5" w:rsidP="003673E5">
      <w:pPr>
        <w:rPr>
          <w:rFonts w:ascii="Arial" w:hAnsi="Arial" w:cs="Arial"/>
          <w:color w:val="282828"/>
          <w:sz w:val="21"/>
          <w:szCs w:val="21"/>
        </w:rPr>
      </w:pPr>
    </w:p>
    <w:p w14:paraId="1E1665D5" w14:textId="77777777" w:rsidR="003673E5" w:rsidRPr="003673E5" w:rsidRDefault="003673E5" w:rsidP="003673E5">
      <w:pPr>
        <w:rPr>
          <w:rFonts w:ascii="Arial" w:hAnsi="Arial" w:cs="Arial"/>
          <w:color w:val="282828"/>
          <w:sz w:val="21"/>
          <w:szCs w:val="21"/>
        </w:rPr>
      </w:pPr>
      <w:r w:rsidRPr="003673E5">
        <w:rPr>
          <w:rFonts w:ascii="Arial" w:hAnsi="Arial" w:cs="Arial"/>
          <w:color w:val="282828"/>
          <w:sz w:val="21"/>
          <w:szCs w:val="21"/>
        </w:rPr>
        <w:t xml:space="preserve">Universal </w:t>
      </w:r>
      <w:r w:rsidR="002A2FC4">
        <w:rPr>
          <w:rFonts w:ascii="Arial" w:hAnsi="Arial" w:cs="Arial"/>
          <w:color w:val="282828"/>
          <w:sz w:val="21"/>
          <w:szCs w:val="21"/>
        </w:rPr>
        <w:t>Router</w:t>
      </w:r>
    </w:p>
    <w:p w14:paraId="5C4D4F1B" w14:textId="77777777" w:rsidR="003673E5" w:rsidRDefault="002A2FC4" w:rsidP="003673E5">
      <w:pPr>
        <w:rPr>
          <w:rFonts w:ascii="Arial" w:hAnsi="Arial" w:cs="Arial"/>
          <w:b/>
          <w:bCs/>
          <w:color w:val="282828"/>
          <w:sz w:val="40"/>
          <w:szCs w:val="40"/>
        </w:rPr>
      </w:pPr>
      <w:r w:rsidRPr="002A2FC4">
        <w:rPr>
          <w:rFonts w:ascii="Arial" w:hAnsi="Arial" w:cs="Arial"/>
          <w:b/>
          <w:bCs/>
          <w:color w:val="282828"/>
          <w:sz w:val="40"/>
          <w:szCs w:val="40"/>
        </w:rPr>
        <w:t>UBR | LON</w:t>
      </w:r>
    </w:p>
    <w:p w14:paraId="1CE09787" w14:textId="77777777" w:rsidR="003673E5" w:rsidRPr="003673E5" w:rsidRDefault="003673E5" w:rsidP="003673E5">
      <w:pPr>
        <w:rPr>
          <w:rFonts w:ascii="Arial" w:hAnsi="Arial" w:cs="Arial"/>
          <w:color w:val="282828"/>
          <w:sz w:val="21"/>
          <w:szCs w:val="21"/>
        </w:rPr>
      </w:pPr>
    </w:p>
    <w:tbl>
      <w:tblPr>
        <w:tblStyle w:val="Tabellenraster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"/>
        <w:gridCol w:w="5657"/>
        <w:gridCol w:w="157"/>
        <w:gridCol w:w="79"/>
        <w:gridCol w:w="846"/>
        <w:gridCol w:w="501"/>
        <w:gridCol w:w="424"/>
        <w:gridCol w:w="842"/>
        <w:gridCol w:w="83"/>
      </w:tblGrid>
      <w:tr w:rsidR="003673E5" w14:paraId="4EAE986F" w14:textId="77777777" w:rsidTr="003673E5">
        <w:tc>
          <w:tcPr>
            <w:tcW w:w="565" w:type="dxa"/>
            <w:tcBorders>
              <w:bottom w:val="single" w:sz="4" w:space="0" w:color="auto"/>
            </w:tcBorders>
          </w:tcPr>
          <w:p w14:paraId="6F21CBEA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Pos</w:t>
            </w:r>
          </w:p>
        </w:tc>
        <w:tc>
          <w:tcPr>
            <w:tcW w:w="5814" w:type="dxa"/>
            <w:gridSpan w:val="2"/>
            <w:tcBorders>
              <w:bottom w:val="single" w:sz="4" w:space="0" w:color="auto"/>
            </w:tcBorders>
          </w:tcPr>
          <w:p w14:paraId="7E98C0D9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Leistungsbeschreibung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452B33F3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Menge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2574D981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Preis je Einheit</w:t>
            </w:r>
            <w:r w:rsidR="00417E87">
              <w:rPr>
                <w:rFonts w:ascii="Arial" w:hAnsi="Arial" w:cs="Arial"/>
                <w:color w:val="282828"/>
                <w:sz w:val="16"/>
                <w:szCs w:val="16"/>
              </w:rPr>
              <w:t xml:space="preserve"> €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14:paraId="0EC8F6BE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16"/>
                <w:szCs w:val="16"/>
              </w:rPr>
            </w:pPr>
            <w:r>
              <w:rPr>
                <w:rFonts w:ascii="Arial" w:hAnsi="Arial" w:cs="Arial"/>
                <w:color w:val="282828"/>
                <w:sz w:val="16"/>
                <w:szCs w:val="16"/>
              </w:rPr>
              <w:t>Summe</w:t>
            </w:r>
            <w:r w:rsidR="00417E87">
              <w:rPr>
                <w:rFonts w:ascii="Arial" w:hAnsi="Arial" w:cs="Arial"/>
                <w:color w:val="282828"/>
                <w:sz w:val="16"/>
                <w:szCs w:val="16"/>
              </w:rPr>
              <w:t xml:space="preserve"> </w:t>
            </w:r>
            <w:r w:rsidR="0071143B">
              <w:rPr>
                <w:rFonts w:ascii="Arial" w:hAnsi="Arial" w:cs="Arial"/>
                <w:color w:val="282828"/>
                <w:sz w:val="16"/>
                <w:szCs w:val="16"/>
              </w:rPr>
              <w:t>€</w:t>
            </w:r>
          </w:p>
        </w:tc>
      </w:tr>
      <w:tr w:rsidR="003673E5" w14:paraId="6DC8BB09" w14:textId="77777777" w:rsidTr="003673E5">
        <w:trPr>
          <w:gridAfter w:val="1"/>
          <w:wAfter w:w="83" w:type="dxa"/>
        </w:trPr>
        <w:tc>
          <w:tcPr>
            <w:tcW w:w="9071" w:type="dxa"/>
            <w:gridSpan w:val="8"/>
            <w:tcBorders>
              <w:top w:val="single" w:sz="4" w:space="0" w:color="auto"/>
            </w:tcBorders>
          </w:tcPr>
          <w:p w14:paraId="1B1ACA1F" w14:textId="77777777" w:rsidR="003673E5" w:rsidRDefault="003673E5" w:rsidP="003673E5">
            <w:pPr>
              <w:rPr>
                <w:rFonts w:ascii="Arial" w:hAnsi="Arial" w:cs="Arial"/>
                <w:color w:val="282828"/>
                <w:sz w:val="21"/>
                <w:szCs w:val="21"/>
              </w:rPr>
            </w:pPr>
          </w:p>
        </w:tc>
      </w:tr>
      <w:tr w:rsidR="003673E5" w:rsidRPr="00417E87" w14:paraId="6DC2C1A2" w14:textId="77777777" w:rsidTr="003673E5">
        <w:tc>
          <w:tcPr>
            <w:tcW w:w="565" w:type="dxa"/>
          </w:tcPr>
          <w:p w14:paraId="48BC35D1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5657" w:type="dxa"/>
          </w:tcPr>
          <w:p w14:paraId="2DA64A24" w14:textId="77777777" w:rsidR="00803A18" w:rsidRDefault="00803A18" w:rsidP="002A2FC4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</w:p>
          <w:p w14:paraId="77695BFA" w14:textId="36992ED4" w:rsidR="002A2FC4" w:rsidRPr="002A2FC4" w:rsidRDefault="002A2FC4" w:rsidP="002A2FC4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Kommunikationsvermittler zwischen zwei Welten</w:t>
            </w:r>
          </w:p>
          <w:p w14:paraId="1FFA89D9" w14:textId="77777777" w:rsidR="002A2FC4" w:rsidRP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Der Universal BACnet Router (UBR) verbindet BACnet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over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LonTalk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mit BACnet/IP. Damit erhalten Liegenschaftsbetreiber eine kostengünstige Möglichkeit, ihre auf BACnet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over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LonTalk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basierende Gebäudetechnik an die moderne IP-Technologie anzubinden. </w:t>
            </w:r>
          </w:p>
          <w:p w14:paraId="6986FF67" w14:textId="77777777" w:rsidR="002A2FC4" w:rsidRP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7B010DBF" w14:textId="689F8626" w:rsid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Der Feldbus-Standard LON (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Local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Operating Network, ISO 14908-x) mit dem Kommunikationsprotokoll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LonTalk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gehört weltweit zu den beliebtesten Technologien in der Gebäudeautomation. Sein Konzept: auf der Automations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>-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ebene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eine Topologie dezentral sowie anhand bestehender Strukturen in Anlagen und Gebäuden aufzubauen </w:t>
            </w:r>
            <w:r w:rsidR="00EB7403">
              <w:rPr>
                <w:rFonts w:ascii="Arial" w:hAnsi="Arial" w:cs="Arial"/>
                <w:color w:val="282828"/>
                <w:sz w:val="20"/>
                <w:szCs w:val="20"/>
              </w:rPr>
              <w:t>-</w:t>
            </w: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etwa als Sterne, Ringe oder Linien. Das ermöglicht gewerkeübergreifende Vernetzung und bringt große Flexibilität in das Gesamtsystem. Doch mit der Umstellung der Festnetztelefonie auf Voice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over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Internet Protocol (VoIP) ergibt sich eine Kommunikationslücke bei der Alarmierung per Telefon.</w:t>
            </w:r>
          </w:p>
          <w:p w14:paraId="4AEA60D5" w14:textId="77777777" w:rsidR="00803A18" w:rsidRPr="002A2FC4" w:rsidRDefault="00803A18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727957D6" w14:textId="77777777" w:rsidR="00DA6815" w:rsidRDefault="00DA6815" w:rsidP="00DA6815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42BABE6" w14:textId="77777777" w:rsidR="002A2FC4" w:rsidRPr="002A2FC4" w:rsidRDefault="002A2FC4" w:rsidP="002A2FC4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Kommunikationslücke schließen</w:t>
            </w:r>
          </w:p>
          <w:p w14:paraId="0A6E537A" w14:textId="77777777" w:rsidR="002A2FC4" w:rsidRP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Die Sprachübertragung via Internetprotokoll hat sich zunehmend etabliert und wird sich weiter durchsetzen. Ende 2018 gab es der Bundesnetzagentur zufolge 25,5 Millionen VoIP-Anschlüsse in Deutschland, Tendenz steigend. Doch Controller, die BACnet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over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LonTalk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verwenden und Alarmzustände via Telefon absetzen, sind für die IP-Telefonie nicht geeignet. Entsprechend funktioniert diese Alarmierung nicht mehr, sobald die vorhandene Telefonleitung auf VoIP umgestellt wird. </w:t>
            </w:r>
          </w:p>
          <w:p w14:paraId="45851648" w14:textId="77777777" w:rsidR="002A2FC4" w:rsidRP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DB4B362" w14:textId="1C919CFA" w:rsid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Für diesen Einsatzfall </w:t>
            </w:r>
            <w:r w:rsidR="00EB7403">
              <w:rPr>
                <w:rFonts w:ascii="Arial" w:hAnsi="Arial" w:cs="Arial"/>
                <w:color w:val="282828"/>
                <w:sz w:val="20"/>
                <w:szCs w:val="20"/>
              </w:rPr>
              <w:t>eignet sich der</w:t>
            </w: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Universal BACnet-Router UBR | LON, der zwischen diesen beiden Welten vermittelt. Denn er wandelt die Daten, die mit BACnet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over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LonTalk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transportiert werden, in IP-fähige Informationen. </w:t>
            </w:r>
          </w:p>
          <w:p w14:paraId="193FF53E" w14:textId="77777777" w:rsidR="00803A18" w:rsidRPr="002A2FC4" w:rsidRDefault="00803A18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852674E" w14:textId="77777777" w:rsidR="002A2FC4" w:rsidRP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4C51F7B9" w14:textId="77777777" w:rsidR="002A2FC4" w:rsidRPr="002A2FC4" w:rsidRDefault="002A2FC4" w:rsidP="002A2FC4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Variables Routing zwischen drei Busprotokollen</w:t>
            </w:r>
          </w:p>
          <w:p w14:paraId="7B8BD472" w14:textId="45B01DDF" w:rsidR="0016070C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Der UBR | LON </w:t>
            </w:r>
            <w:r w:rsidR="00EB7403">
              <w:rPr>
                <w:rFonts w:ascii="Arial" w:hAnsi="Arial" w:cs="Arial"/>
                <w:color w:val="282828"/>
                <w:sz w:val="20"/>
                <w:szCs w:val="20"/>
              </w:rPr>
              <w:t xml:space="preserve">ist </w:t>
            </w: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hervorragend dafür geeignet, das Routing variabel einzurichten. Das Gerät verfügt über drei Interfaces für BACnet/IP, BACnet MS/TP und BACnet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over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LonTalk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. Mit dieser Ausstattung lassen sich Datenpakete nicht nur von BACnet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over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LonTalk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nach BACnet/IP und nach BACnet MS/TP, sondern auch von BACnet/IP nach BACnet MS/TP vermitteln. Zudem können die Daten flexibel zwischen allen drei Busprotokollen hin- und 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hergeroutet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 xml:space="preserve"> werden. </w:t>
            </w:r>
          </w:p>
          <w:p w14:paraId="1076BF65" w14:textId="77777777" w:rsidR="00803A18" w:rsidRPr="00EB7403" w:rsidRDefault="00803A18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E620DDA" w14:textId="77777777" w:rsidR="0016070C" w:rsidRDefault="0016070C" w:rsidP="002A2FC4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</w:p>
          <w:p w14:paraId="52BA4886" w14:textId="77777777" w:rsidR="002A2FC4" w:rsidRPr="002A2FC4" w:rsidRDefault="002A2FC4" w:rsidP="002A2FC4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Investitionsschutz inklusive</w:t>
            </w:r>
          </w:p>
          <w:p w14:paraId="4F7D1ED6" w14:textId="77777777" w:rsidR="002A2FC4" w:rsidRPr="002A2FC4" w:rsidRDefault="002A2FC4" w:rsidP="002A2FC4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Die Vorteile der dezentralen Automatisierung mit dem LON-Standard lassen sich mit dem UBR | LON mit zeitgemäßer IP-</w:t>
            </w: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lastRenderedPageBreak/>
              <w:t>Telefonie verbinden. Liegenschaftsbetreiber, die entsprechende Controller verwenden, haben zudem einen gewissen Investitionsschutz, da sie diese Steuerungskomponenten auch bei der Umstellung auf VoIP weiter nutzen können.</w:t>
            </w:r>
          </w:p>
          <w:p w14:paraId="0E14CFA3" w14:textId="77777777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4F6E562A" w14:textId="77777777" w:rsidR="00674FE0" w:rsidRPr="003673E5" w:rsidRDefault="00674FE0" w:rsidP="00417E87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6EC5AB4" w14:textId="77777777" w:rsidR="003673E5" w:rsidRPr="00EB7403" w:rsidRDefault="00417E87" w:rsidP="003673E5">
            <w:pPr>
              <w:jc w:val="both"/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</w:pPr>
            <w:r w:rsidRPr="00EB7403"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  <w:t>Technische Daten</w:t>
            </w:r>
          </w:p>
          <w:p w14:paraId="4460963D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48707CC0" w14:textId="77777777" w:rsidR="00674FE0" w:rsidRPr="00674FE0" w:rsidRDefault="00674FE0" w:rsidP="00674FE0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PWR - Power | Spannungsversorgung</w:t>
            </w:r>
          </w:p>
          <w:p w14:paraId="1E6E9C62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Anschluss V+: +12 bis +24V DC oder 12 bis 24V AC</w:t>
            </w:r>
          </w:p>
          <w:p w14:paraId="14720BC9" w14:textId="77777777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Anschluss V-: GND oder 12 bis 24V AC</w:t>
            </w:r>
          </w:p>
          <w:p w14:paraId="763AC9A0" w14:textId="77777777" w:rsid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4855F463" w14:textId="77777777" w:rsidR="00674FE0" w:rsidRPr="00674FE0" w:rsidRDefault="00674FE0" w:rsidP="00674FE0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LAN</w:t>
            </w:r>
          </w:p>
          <w:p w14:paraId="248D5E25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RJ45: 10/100 MBit Ethernet Steckverbinder</w:t>
            </w:r>
          </w:p>
          <w:p w14:paraId="5E6185A9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Link-LED: zeigt eine LAN Verbindung an</w:t>
            </w:r>
          </w:p>
          <w:p w14:paraId="5E518487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10/100-LED: zeigt die Verbindungsgeschwindigkeit an</w:t>
            </w:r>
          </w:p>
          <w:p w14:paraId="78560A9A" w14:textId="77777777" w:rsidR="00674FE0" w:rsidRPr="00674FE0" w:rsidRDefault="00674FE0" w:rsidP="00674FE0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7E1B4CD" w14:textId="77777777" w:rsidR="00674FE0" w:rsidRPr="00674FE0" w:rsidRDefault="00674FE0" w:rsidP="00674FE0">
            <w:pPr>
              <w:jc w:val="both"/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LEDs</w:t>
            </w:r>
          </w:p>
          <w:p w14:paraId="48E1E3E1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Power: Leuchtet sobald das Gerät an eine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geeignete Betriebsspannung angeschlossen ist</w:t>
            </w:r>
          </w:p>
          <w:p w14:paraId="1CF00C8D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ST.: Multicolor Status LED</w:t>
            </w:r>
          </w:p>
          <w:p w14:paraId="401E4095" w14:textId="77777777" w:rsidR="00674FE0" w:rsidRP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RX: Blinkt wenn das Gerät Daten empfängt</w:t>
            </w:r>
          </w:p>
          <w:p w14:paraId="63A07948" w14:textId="77777777" w:rsid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674FE0">
              <w:rPr>
                <w:rFonts w:ascii="Arial" w:hAnsi="Arial" w:cs="Arial"/>
                <w:color w:val="282828"/>
                <w:sz w:val="20"/>
                <w:szCs w:val="20"/>
              </w:rPr>
              <w:t>TX: Blinkt wenn das Gerät Daten sendet</w:t>
            </w:r>
          </w:p>
          <w:p w14:paraId="1E59A13D" w14:textId="77777777" w:rsidR="00674FE0" w:rsidRDefault="00674FE0" w:rsidP="00674FE0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6F8B7215" w14:textId="77777777" w:rsidR="002A2FC4" w:rsidRPr="002A2FC4" w:rsidRDefault="002A2FC4" w:rsidP="002A2FC4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RS485 (ISOLIERT 1KV)</w:t>
            </w:r>
          </w:p>
          <w:p w14:paraId="53A47010" w14:textId="77777777" w:rsidR="002A2FC4" w:rsidRPr="002A2FC4" w:rsidRDefault="002A2FC4" w:rsidP="002A2FC4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COM1</w:t>
            </w:r>
          </w:p>
          <w:p w14:paraId="666BE6F5" w14:textId="77777777" w:rsidR="002A2FC4" w:rsidRDefault="002A2FC4" w:rsidP="002A2FC4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RS485</w:t>
            </w:r>
          </w:p>
          <w:p w14:paraId="54883A57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B+: Nicht invertierter Eingang</w:t>
            </w:r>
          </w:p>
          <w:p w14:paraId="093306AF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A-: Invertierter Eingang</w:t>
            </w:r>
          </w:p>
          <w:p w14:paraId="05940A58" w14:textId="77777777" w:rsidR="002A2FC4" w:rsidRPr="002A2FC4" w:rsidRDefault="0016070C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S</w:t>
            </w:r>
            <w:r w:rsidR="002A2FC4" w:rsidRPr="002A2FC4">
              <w:rPr>
                <w:rFonts w:ascii="Arial" w:hAnsi="Arial" w:cs="Arial"/>
                <w:color w:val="282828"/>
                <w:sz w:val="20"/>
                <w:szCs w:val="20"/>
              </w:rPr>
              <w:t>GND</w:t>
            </w:r>
          </w:p>
          <w:p w14:paraId="1B5D903D" w14:textId="77777777" w:rsid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Shld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: Schirmung</w:t>
            </w:r>
          </w:p>
          <w:p w14:paraId="6F732576" w14:textId="77777777" w:rsid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2F710DA3" w14:textId="77777777" w:rsidR="002A2FC4" w:rsidRDefault="002A2FC4" w:rsidP="002A2FC4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 w:rsidRPr="00DA6815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DIP-Schalter</w:t>
            </w:r>
          </w:p>
          <w:p w14:paraId="1F25041A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Bias: Spannung für RS485</w:t>
            </w:r>
          </w:p>
          <w:p w14:paraId="6A1B23C6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Bias: Spannung für RS485</w:t>
            </w:r>
          </w:p>
          <w:p w14:paraId="2E3843F7" w14:textId="77777777" w:rsid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120 Ohm: Abschlusswiderstand</w:t>
            </w:r>
          </w:p>
          <w:p w14:paraId="3F9416D3" w14:textId="77777777" w:rsidR="002A2FC4" w:rsidRDefault="002A2FC4" w:rsidP="002A2FC4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</w:p>
          <w:p w14:paraId="2F3C6A0E" w14:textId="77777777" w:rsidR="002A2FC4" w:rsidRPr="00EB7403" w:rsidRDefault="002A2FC4" w:rsidP="002A2FC4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LON (TP/FT-10)</w:t>
            </w:r>
          </w:p>
          <w:p w14:paraId="3BBD66EA" w14:textId="77777777" w:rsidR="002A2FC4" w:rsidRPr="00EB7403" w:rsidRDefault="002A2FC4" w:rsidP="002A2FC4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LON</w:t>
            </w:r>
          </w:p>
          <w:p w14:paraId="6C21F1F3" w14:textId="77777777" w:rsidR="002A2FC4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LON 1</w:t>
            </w:r>
          </w:p>
          <w:p w14:paraId="6D4BFA66" w14:textId="77777777" w:rsidR="002A2FC4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LON 2</w:t>
            </w:r>
          </w:p>
          <w:p w14:paraId="16D21677" w14:textId="77777777" w:rsidR="002A2FC4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Shield</w:t>
            </w:r>
          </w:p>
          <w:p w14:paraId="14B48D01" w14:textId="77777777" w:rsidR="00DA6815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Shield</w:t>
            </w:r>
          </w:p>
          <w:p w14:paraId="6D92148F" w14:textId="77777777" w:rsidR="002A2FC4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  <w:p w14:paraId="182BB0CE" w14:textId="77777777" w:rsidR="00DA6815" w:rsidRPr="00EB7403" w:rsidRDefault="002A2FC4" w:rsidP="00DA6815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LED</w:t>
            </w:r>
          </w:p>
          <w:p w14:paraId="5F2A963E" w14:textId="77777777" w:rsidR="002A2FC4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Die Lon Status LED </w:t>
            </w:r>
            <w:proofErr w:type="spellStart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signalisiert</w:t>
            </w:r>
            <w:proofErr w:type="spellEnd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Knotenstatus</w:t>
            </w:r>
            <w:proofErr w:type="spellEnd"/>
          </w:p>
          <w:p w14:paraId="7FD2A655" w14:textId="77777777" w:rsidR="002A2FC4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der </w:t>
            </w:r>
            <w:proofErr w:type="spellStart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Easylon</w:t>
            </w:r>
            <w:proofErr w:type="spellEnd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USB Socket Interface. Es </w:t>
            </w:r>
            <w:proofErr w:type="spellStart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sind</w:t>
            </w:r>
            <w:proofErr w:type="spellEnd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folgende</w:t>
            </w:r>
            <w:proofErr w:type="spellEnd"/>
          </w:p>
          <w:p w14:paraId="4F43F49A" w14:textId="77777777" w:rsidR="002A2FC4" w:rsidRPr="00EB7403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der Service LED </w:t>
            </w:r>
            <w:proofErr w:type="spellStart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Signale</w:t>
            </w:r>
            <w:proofErr w:type="spellEnd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definiert</w:t>
            </w:r>
            <w:proofErr w:type="spellEnd"/>
            <w:r w:rsidRPr="00EB7403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:</w:t>
            </w:r>
          </w:p>
          <w:p w14:paraId="7D0B9D2C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Blitz: Keine Kommunikation mit Neuron (Fehler)</w:t>
            </w:r>
          </w:p>
          <w:p w14:paraId="41998A09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Blinkt: Treiber ist installiert, Gerät ist "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unconfigured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"</w:t>
            </w:r>
          </w:p>
          <w:p w14:paraId="3A514839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(Gerät auf "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configured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" setzen)</w:t>
            </w:r>
          </w:p>
          <w:p w14:paraId="5B4C7B16" w14:textId="77777777" w:rsidR="002A2FC4" w:rsidRPr="002A2FC4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An: Gerät ist "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applicationless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" und "</w:t>
            </w:r>
            <w:proofErr w:type="spellStart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unconfigured</w:t>
            </w:r>
            <w:proofErr w:type="spellEnd"/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"</w:t>
            </w:r>
          </w:p>
          <w:p w14:paraId="201AE6AB" w14:textId="77777777" w:rsidR="00DA6815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2A2FC4">
              <w:rPr>
                <w:rFonts w:ascii="Arial" w:hAnsi="Arial" w:cs="Arial"/>
                <w:color w:val="282828"/>
                <w:sz w:val="20"/>
                <w:szCs w:val="20"/>
              </w:rPr>
              <w:t>Aus: Installation ok (normaler Betriebszustand)</w:t>
            </w:r>
          </w:p>
          <w:p w14:paraId="430FE245" w14:textId="77777777" w:rsidR="00DA6815" w:rsidRDefault="00DA6815" w:rsidP="00DA6815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</w:p>
          <w:p w14:paraId="53685B17" w14:textId="77777777" w:rsidR="00DA6815" w:rsidRDefault="002A2FC4" w:rsidP="00674FE0">
            <w:pP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Taster</w:t>
            </w:r>
          </w:p>
          <w:p w14:paraId="657B5C04" w14:textId="77777777" w:rsidR="00674FE0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color w:val="282828"/>
                <w:sz w:val="20"/>
                <w:szCs w:val="20"/>
              </w:rPr>
              <w:t>LON Service</w:t>
            </w:r>
          </w:p>
          <w:p w14:paraId="4885FD6A" w14:textId="77777777" w:rsidR="002A2FC4" w:rsidRPr="00674FE0" w:rsidRDefault="002A2FC4" w:rsidP="002A2FC4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7579DEE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75285CE" w14:textId="77777777" w:rsidR="00417E87" w:rsidRPr="00EB7403" w:rsidRDefault="00417E87" w:rsidP="00417E87">
            <w:pPr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</w:pPr>
            <w:r w:rsidRPr="00EB7403">
              <w:rPr>
                <w:rFonts w:ascii="Arial" w:hAnsi="Arial" w:cs="Arial"/>
                <w:b/>
                <w:bCs/>
                <w:color w:val="282828"/>
                <w:sz w:val="40"/>
                <w:szCs w:val="40"/>
              </w:rPr>
              <w:t>Spezifikationen</w:t>
            </w:r>
          </w:p>
          <w:p w14:paraId="13E42195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1E8FA44" w14:textId="77777777" w:rsidR="00417E87" w:rsidRPr="00417E87" w:rsidRDefault="00F77C6A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Leistungs</w:t>
            </w:r>
            <w:r w:rsidR="00417E87"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aufnahme:</w:t>
            </w:r>
            <w:r w:rsidR="00417E87"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DA6815">
              <w:rPr>
                <w:rFonts w:ascii="Arial" w:hAnsi="Arial" w:cs="Arial"/>
                <w:color w:val="282828"/>
                <w:sz w:val="20"/>
                <w:szCs w:val="20"/>
              </w:rPr>
              <w:t>2,</w:t>
            </w:r>
            <w:r w:rsidR="002A2FC4">
              <w:rPr>
                <w:rFonts w:ascii="Arial" w:hAnsi="Arial" w:cs="Arial"/>
                <w:color w:val="282828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282828"/>
                <w:sz w:val="20"/>
                <w:szCs w:val="20"/>
              </w:rPr>
              <w:t xml:space="preserve"> Watt</w:t>
            </w:r>
          </w:p>
          <w:p w14:paraId="51D5D1D4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Gewicht: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 </w:t>
            </w:r>
            <w:r w:rsidR="00DA6815">
              <w:rPr>
                <w:rFonts w:ascii="Arial" w:hAnsi="Arial" w:cs="Arial"/>
                <w:color w:val="282828"/>
                <w:sz w:val="20"/>
                <w:szCs w:val="20"/>
              </w:rPr>
              <w:t>30</w:t>
            </w:r>
            <w:r w:rsidR="00674FE0">
              <w:rPr>
                <w:rFonts w:ascii="Arial" w:hAnsi="Arial" w:cs="Arial"/>
                <w:color w:val="282828"/>
                <w:sz w:val="20"/>
                <w:szCs w:val="20"/>
              </w:rPr>
              <w:t>0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Gramm</w:t>
            </w:r>
          </w:p>
          <w:p w14:paraId="12DF84AA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Maße: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</w:t>
            </w:r>
            <w:r w:rsidR="00674FE0" w:rsidRPr="00674FE0">
              <w:rPr>
                <w:rFonts w:ascii="Arial" w:hAnsi="Arial" w:cs="Arial"/>
                <w:color w:val="282828"/>
                <w:sz w:val="20"/>
                <w:szCs w:val="20"/>
              </w:rPr>
              <w:t xml:space="preserve">100 mm, Breite: </w:t>
            </w:r>
            <w:r w:rsidR="00DA6815">
              <w:rPr>
                <w:rFonts w:ascii="Arial" w:hAnsi="Arial" w:cs="Arial"/>
                <w:color w:val="282828"/>
                <w:sz w:val="20"/>
                <w:szCs w:val="20"/>
              </w:rPr>
              <w:t>48</w:t>
            </w:r>
            <w:r w:rsidR="00674FE0" w:rsidRPr="00674FE0">
              <w:rPr>
                <w:rFonts w:ascii="Arial" w:hAnsi="Arial" w:cs="Arial"/>
                <w:color w:val="282828"/>
                <w:sz w:val="20"/>
                <w:szCs w:val="20"/>
              </w:rPr>
              <w:t xml:space="preserve"> mm, Tiefe: 70 mm</w:t>
            </w:r>
          </w:p>
          <w:p w14:paraId="23F12EA6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>(Tiefe: 104 mm inklusive DIN-Hutschienenhalter)</w:t>
            </w:r>
          </w:p>
          <w:p w14:paraId="76975551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Umgebungstemperatur: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0...45°C</w:t>
            </w:r>
            <w:r w:rsidR="00674FE0">
              <w:rPr>
                <w:rFonts w:ascii="Arial" w:hAnsi="Arial" w:cs="Arial"/>
                <w:color w:val="282828"/>
                <w:sz w:val="20"/>
                <w:szCs w:val="20"/>
              </w:rPr>
              <w:t xml:space="preserve">, </w:t>
            </w:r>
            <w:r w:rsidR="00674FE0" w:rsidRPr="00674FE0">
              <w:rPr>
                <w:rFonts w:ascii="Arial" w:hAnsi="Arial" w:cs="Arial"/>
                <w:color w:val="282828"/>
                <w:sz w:val="20"/>
                <w:szCs w:val="20"/>
              </w:rPr>
              <w:t>32…113°F</w:t>
            </w:r>
          </w:p>
          <w:p w14:paraId="26B0FB6A" w14:textId="77777777" w:rsidR="00417E87" w:rsidRPr="00417E87" w:rsidRDefault="00417E87" w:rsidP="00417E87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Umgebungsfeuchte: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20...80 Prozent relative Feuchte, nicht kondensierend</w:t>
            </w:r>
          </w:p>
          <w:p w14:paraId="6EA9D611" w14:textId="27D83CC1" w:rsidR="003673E5" w:rsidRDefault="00417E87" w:rsidP="00417E87">
            <w:pPr>
              <w:pBdr>
                <w:bottom w:val="single" w:sz="6" w:space="1" w:color="auto"/>
              </w:pBd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</w:rPr>
              <w:t>Montage:</w:t>
            </w:r>
            <w:r w:rsidRPr="00417E87">
              <w:rPr>
                <w:rFonts w:ascii="Arial" w:hAnsi="Arial" w:cs="Arial"/>
                <w:color w:val="282828"/>
                <w:sz w:val="20"/>
                <w:szCs w:val="20"/>
              </w:rPr>
              <w:t xml:space="preserve"> DIN-Hutschiene TS35 nach EN60715</w:t>
            </w:r>
          </w:p>
          <w:p w14:paraId="2D9F79AD" w14:textId="77777777" w:rsidR="00EB7403" w:rsidRPr="003673E5" w:rsidRDefault="00EB7403" w:rsidP="00417E87">
            <w:pPr>
              <w:pBdr>
                <w:bottom w:val="single" w:sz="6" w:space="1" w:color="auto"/>
              </w:pBd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7550624E" w14:textId="77777777" w:rsidR="00EB7403" w:rsidRPr="003673E5" w:rsidRDefault="00EB7403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2A4891F5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3D14227F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Fabrikat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MBS</w:t>
            </w:r>
          </w:p>
          <w:p w14:paraId="487C2858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proofErr w:type="spellStart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Typ</w:t>
            </w:r>
            <w:proofErr w:type="spellEnd"/>
            <w:r w:rsidRPr="00417E87">
              <w:rPr>
                <w:rFonts w:ascii="Arial" w:hAnsi="Arial" w:cs="Arial"/>
                <w:b/>
                <w:bCs/>
                <w:color w:val="282828"/>
                <w:sz w:val="20"/>
                <w:szCs w:val="20"/>
                <w:lang w:val="en-US"/>
              </w:rPr>
              <w:t>:</w:t>
            </w:r>
            <w:r w:rsidRPr="003673E5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 xml:space="preserve"> MBS </w:t>
            </w:r>
            <w:r w:rsidR="003F7D20" w:rsidRPr="003F7D20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UBR | LON</w:t>
            </w:r>
          </w:p>
          <w:p w14:paraId="5E249960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oder gleichwertig</w:t>
            </w:r>
          </w:p>
          <w:p w14:paraId="3D1CD6CF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1669A25C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MBS GmbH</w:t>
            </w:r>
          </w:p>
          <w:p w14:paraId="6D86711F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Römerstraße 15</w:t>
            </w:r>
          </w:p>
          <w:p w14:paraId="59AE99F6" w14:textId="77777777" w:rsidR="003673E5" w:rsidRPr="003673E5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  <w:r w:rsidRPr="003673E5">
              <w:rPr>
                <w:rFonts w:ascii="Arial" w:hAnsi="Arial" w:cs="Arial"/>
                <w:color w:val="282828"/>
                <w:sz w:val="20"/>
                <w:szCs w:val="20"/>
              </w:rPr>
              <w:t>D-47809 Krefeld</w:t>
            </w:r>
          </w:p>
          <w:p w14:paraId="1A555B32" w14:textId="77777777" w:rsid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  <w:p w14:paraId="5798450F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Tel. +49 / 21 51 / 72 94-0</w:t>
            </w:r>
          </w:p>
          <w:p w14:paraId="079E3DA0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r w:rsidRPr="00417E87"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  <w:t>FAX: +49 / 21 51 / 72 94-50</w:t>
            </w:r>
          </w:p>
          <w:p w14:paraId="5CAEC930" w14:textId="77777777" w:rsid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  <w:p w14:paraId="38691AC4" w14:textId="77777777" w:rsidR="0016070C" w:rsidRPr="00417E87" w:rsidRDefault="00000000" w:rsidP="0016070C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hyperlink r:id="rId5" w:history="1">
              <w:r w:rsidR="0016070C" w:rsidRPr="002454C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www.mbs-solutions.de</w:t>
              </w:r>
            </w:hyperlink>
          </w:p>
          <w:p w14:paraId="3334B35C" w14:textId="77777777" w:rsidR="003673E5" w:rsidRPr="00417E87" w:rsidRDefault="00000000" w:rsidP="0016070C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  <w:hyperlink r:id="rId6" w:history="1">
              <w:r w:rsidR="0016070C" w:rsidRPr="002454CA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info@mbs-solutions.de</w:t>
              </w:r>
            </w:hyperlink>
          </w:p>
        </w:tc>
        <w:tc>
          <w:tcPr>
            <w:tcW w:w="236" w:type="dxa"/>
            <w:gridSpan w:val="2"/>
          </w:tcPr>
          <w:p w14:paraId="07D1A851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</w:tcPr>
          <w:p w14:paraId="1132E161" w14:textId="77777777" w:rsidR="003673E5" w:rsidRPr="00417E87" w:rsidRDefault="003673E5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3"/>
          </w:tcPr>
          <w:p w14:paraId="67FCF152" w14:textId="77777777" w:rsidR="003673E5" w:rsidRPr="00417E87" w:rsidRDefault="003673E5" w:rsidP="00417E87">
            <w:pPr>
              <w:jc w:val="right"/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</w:tr>
      <w:tr w:rsidR="00417E87" w:rsidRPr="00417E87" w14:paraId="4D055266" w14:textId="77777777" w:rsidTr="003673E5">
        <w:tc>
          <w:tcPr>
            <w:tcW w:w="565" w:type="dxa"/>
          </w:tcPr>
          <w:p w14:paraId="638B64CD" w14:textId="77777777" w:rsidR="00417E87" w:rsidRPr="003673E5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5657" w:type="dxa"/>
          </w:tcPr>
          <w:p w14:paraId="75A6FD89" w14:textId="77777777" w:rsidR="00417E87" w:rsidRPr="003673E5" w:rsidRDefault="00417E87" w:rsidP="003673E5">
            <w:pPr>
              <w:jc w:val="both"/>
              <w:rPr>
                <w:rFonts w:ascii="Arial" w:hAnsi="Arial" w:cs="Arial"/>
                <w:color w:val="282828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14:paraId="225974A5" w14:textId="77777777" w:rsidR="00417E87" w:rsidRP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gridSpan w:val="2"/>
          </w:tcPr>
          <w:p w14:paraId="5CDCABCA" w14:textId="77777777" w:rsidR="00417E87" w:rsidRPr="00417E87" w:rsidRDefault="00417E87" w:rsidP="003673E5">
            <w:pPr>
              <w:rPr>
                <w:rFonts w:ascii="Arial" w:hAnsi="Arial" w:cs="Arial"/>
                <w:color w:val="282828"/>
                <w:sz w:val="20"/>
                <w:szCs w:val="20"/>
                <w:lang w:val="en-US"/>
              </w:rPr>
            </w:pPr>
          </w:p>
        </w:tc>
        <w:tc>
          <w:tcPr>
            <w:tcW w:w="1348" w:type="dxa"/>
            <w:gridSpan w:val="3"/>
          </w:tcPr>
          <w:p w14:paraId="18B75A06" w14:textId="77777777" w:rsidR="00417E87" w:rsidRDefault="00417E87" w:rsidP="00417E87">
            <w:pPr>
              <w:jc w:val="right"/>
              <w:rPr>
                <w:rFonts w:ascii="Arial" w:hAnsi="Arial" w:cs="Arial"/>
                <w:color w:val="282828"/>
                <w:sz w:val="16"/>
                <w:szCs w:val="16"/>
              </w:rPr>
            </w:pPr>
          </w:p>
        </w:tc>
      </w:tr>
    </w:tbl>
    <w:p w14:paraId="6036F210" w14:textId="77777777" w:rsidR="001F43D0" w:rsidRPr="00417E87" w:rsidRDefault="00000000" w:rsidP="00F77C6A">
      <w:pPr>
        <w:rPr>
          <w:rFonts w:ascii="Arial" w:hAnsi="Arial" w:cs="Arial"/>
          <w:color w:val="282828"/>
          <w:sz w:val="20"/>
          <w:szCs w:val="20"/>
          <w:lang w:val="en-US"/>
        </w:rPr>
      </w:pPr>
    </w:p>
    <w:sectPr w:rsidR="001F43D0" w:rsidRPr="00417E87" w:rsidSect="00AD3A4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2123"/>
    <w:multiLevelType w:val="hybridMultilevel"/>
    <w:tmpl w:val="E9A2A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040EFA"/>
    <w:multiLevelType w:val="hybridMultilevel"/>
    <w:tmpl w:val="F2D45328"/>
    <w:lvl w:ilvl="0" w:tplc="859E6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307906">
    <w:abstractNumId w:val="0"/>
  </w:num>
  <w:num w:numId="2" w16cid:durableId="1799641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3E5"/>
    <w:rsid w:val="0016070C"/>
    <w:rsid w:val="001A3F01"/>
    <w:rsid w:val="002A2FC4"/>
    <w:rsid w:val="003673E5"/>
    <w:rsid w:val="003F7D20"/>
    <w:rsid w:val="00417E87"/>
    <w:rsid w:val="004B5284"/>
    <w:rsid w:val="00674FE0"/>
    <w:rsid w:val="0071143B"/>
    <w:rsid w:val="00803A18"/>
    <w:rsid w:val="00AD3A4E"/>
    <w:rsid w:val="00C10B19"/>
    <w:rsid w:val="00DA6815"/>
    <w:rsid w:val="00EB7403"/>
    <w:rsid w:val="00F7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AF2821"/>
  <w15:chartTrackingRefBased/>
  <w15:docId w15:val="{4D6879CD-3D53-C247-A3E4-FD46A46A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7E8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77C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7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bs-solutions.de" TargetMode="External"/><Relationship Id="rId5" Type="http://schemas.openxmlformats.org/officeDocument/2006/relationships/hyperlink" Target="https://www.mbs-solutions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594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Wolters</dc:creator>
  <cp:keywords/>
  <dc:description/>
  <cp:lastModifiedBy>Tom Wolters</cp:lastModifiedBy>
  <cp:revision>5</cp:revision>
  <dcterms:created xsi:type="dcterms:W3CDTF">2020-04-21T14:54:00Z</dcterms:created>
  <dcterms:modified xsi:type="dcterms:W3CDTF">2023-01-24T10:25:00Z</dcterms:modified>
</cp:coreProperties>
</file>